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397D26" w:rsidP="00397D26">
            <w:pPr>
              <w:shd w:val="solid" w:color="FFFFFF" w:fill="FFFFFF"/>
              <w:spacing w:before="0" w:line="240" w:lineRule="atLeast"/>
            </w:pPr>
            <w:bookmarkStart w:id="0" w:name="ditulogo"/>
            <w:bookmarkEnd w:id="0"/>
            <w:r>
              <w:rPr>
                <w:noProof/>
                <w:lang w:val="en-US" w:eastAsia="zh-CN"/>
              </w:rPr>
              <w:drawing>
                <wp:inline distT="0" distB="0" distL="0" distR="0" wp14:anchorId="71580253" wp14:editId="585E142D">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0069D4"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trPr>
          <w:cantSplit/>
        </w:trPr>
        <w:tc>
          <w:tcPr>
            <w:tcW w:w="6580" w:type="dxa"/>
            <w:vMerge w:val="restart"/>
          </w:tcPr>
          <w:p w:rsidR="00397D26" w:rsidRPr="00982084" w:rsidRDefault="00397D26" w:rsidP="00397D2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51" w:type="dxa"/>
          </w:tcPr>
          <w:p w:rsidR="000069D4" w:rsidRPr="00397D26" w:rsidRDefault="000069D4" w:rsidP="00A5173C">
            <w:pPr>
              <w:shd w:val="solid" w:color="FFFFFF" w:fill="FFFFFF"/>
              <w:spacing w:before="0" w:line="240" w:lineRule="atLeast"/>
              <w:rPr>
                <w:rFonts w:ascii="Verdana" w:hAnsi="Verdana"/>
                <w:sz w:val="20"/>
                <w:lang w:eastAsia="zh-CN"/>
              </w:rPr>
            </w:pPr>
          </w:p>
        </w:tc>
      </w:tr>
      <w:tr w:rsidR="000069D4">
        <w:trPr>
          <w:cantSplit/>
        </w:trPr>
        <w:tc>
          <w:tcPr>
            <w:tcW w:w="6580" w:type="dxa"/>
            <w:vMerge/>
          </w:tcPr>
          <w:p w:rsidR="000069D4" w:rsidRDefault="000069D4" w:rsidP="00A5173C">
            <w:pPr>
              <w:spacing w:before="60"/>
              <w:jc w:val="center"/>
              <w:rPr>
                <w:b/>
                <w:smallCaps/>
                <w:sz w:val="32"/>
                <w:lang w:eastAsia="zh-CN"/>
              </w:rPr>
            </w:pPr>
            <w:bookmarkStart w:id="3" w:name="ddate" w:colFirst="1" w:colLast="1"/>
            <w:bookmarkEnd w:id="2"/>
          </w:p>
        </w:tc>
        <w:tc>
          <w:tcPr>
            <w:tcW w:w="3451" w:type="dxa"/>
          </w:tcPr>
          <w:p w:rsidR="000069D4" w:rsidRPr="00397D26" w:rsidRDefault="00397D26" w:rsidP="00A5173C">
            <w:pPr>
              <w:shd w:val="solid" w:color="FFFFFF" w:fill="FFFFFF"/>
              <w:spacing w:before="0" w:line="240" w:lineRule="atLeast"/>
              <w:rPr>
                <w:rFonts w:ascii="Verdana" w:hAnsi="Verdana"/>
                <w:sz w:val="20"/>
                <w:lang w:eastAsia="zh-CN"/>
              </w:rPr>
            </w:pPr>
            <w:r>
              <w:rPr>
                <w:rFonts w:ascii="Verdana" w:hAnsi="Verdana"/>
                <w:b/>
                <w:sz w:val="20"/>
                <w:lang w:eastAsia="zh-CN"/>
              </w:rPr>
              <w:t>12 September 2011</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397D26" w:rsidRDefault="00397D2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397D26" w:rsidP="00F805FD">
            <w:pPr>
              <w:pStyle w:val="Source"/>
              <w:spacing w:before="720"/>
              <w:rPr>
                <w:lang w:eastAsia="zh-CN"/>
              </w:rPr>
            </w:pPr>
            <w:bookmarkStart w:id="5" w:name="dsource" w:colFirst="0" w:colLast="0"/>
            <w:bookmarkEnd w:id="4"/>
            <w:r>
              <w:t>Director, BR</w:t>
            </w:r>
          </w:p>
        </w:tc>
      </w:tr>
      <w:tr w:rsidR="000069D4">
        <w:trPr>
          <w:cantSplit/>
        </w:trPr>
        <w:tc>
          <w:tcPr>
            <w:tcW w:w="10031" w:type="dxa"/>
            <w:gridSpan w:val="2"/>
          </w:tcPr>
          <w:p w:rsidR="000069D4" w:rsidRDefault="00397D26" w:rsidP="00E76D90">
            <w:pPr>
              <w:pStyle w:val="Title1"/>
              <w:rPr>
                <w:lang w:eastAsia="zh-CN"/>
              </w:rPr>
            </w:pPr>
            <w:bookmarkStart w:id="6" w:name="drec" w:colFirst="0" w:colLast="0"/>
            <w:bookmarkEnd w:id="5"/>
            <w:r>
              <w:t>ITU-R</w:t>
            </w:r>
            <w:r w:rsidRPr="001655BE">
              <w:t xml:space="preserve"> ACTIVITIES ON</w:t>
            </w:r>
            <w:bookmarkStart w:id="7" w:name="_GoBack"/>
            <w:bookmarkEnd w:id="7"/>
            <w:r>
              <w:t xml:space="preserve"> </w:t>
            </w:r>
            <w:r w:rsidRPr="001655BE">
              <w:t>CLIMATE CHANGE AND THE ENVIRONMENT</w:t>
            </w:r>
          </w:p>
        </w:tc>
      </w:tr>
      <w:tr w:rsidR="000069D4">
        <w:trPr>
          <w:cantSplit/>
        </w:trPr>
        <w:tc>
          <w:tcPr>
            <w:tcW w:w="10031" w:type="dxa"/>
            <w:gridSpan w:val="2"/>
          </w:tcPr>
          <w:p w:rsidR="000069D4" w:rsidRDefault="000069D4" w:rsidP="00F805FD">
            <w:pPr>
              <w:pStyle w:val="Title1"/>
              <w:spacing w:before="120"/>
              <w:rPr>
                <w:lang w:eastAsia="zh-CN"/>
              </w:rPr>
            </w:pPr>
            <w:bookmarkStart w:id="8" w:name="dtitle1" w:colFirst="0" w:colLast="0"/>
            <w:bookmarkEnd w:id="6"/>
          </w:p>
        </w:tc>
      </w:tr>
    </w:tbl>
    <w:p w:rsidR="00397D26" w:rsidRPr="007D3EC4" w:rsidRDefault="00397D26" w:rsidP="00397D26">
      <w:pPr>
        <w:pStyle w:val="Heading1"/>
      </w:pPr>
      <w:bookmarkStart w:id="9" w:name="dbreak"/>
      <w:bookmarkEnd w:id="8"/>
      <w:bookmarkEnd w:id="9"/>
      <w:r>
        <w:t>1</w:t>
      </w:r>
      <w:r>
        <w:tab/>
      </w:r>
      <w:r w:rsidRPr="007D3EC4">
        <w:t>Introduction</w:t>
      </w:r>
    </w:p>
    <w:p w:rsidR="00397D26" w:rsidRPr="006229F5" w:rsidRDefault="00397D26" w:rsidP="00397D26">
      <w:r>
        <w:t>The use of radiocommunication</w:t>
      </w:r>
      <w:r w:rsidRPr="006229F5">
        <w:t xml:space="preserve"> to monitor processes and trends at the global scale is essential in the context of climate change. Areas foreseen in this context are: continued observations and long-term monitoring of solar spectral irradiation to improve our knowledge and understanding concerning the influence of the electromagnetic radiation of the sun on Earth's environment, including the climate, continued observations to characterize changes in the atmosphere, oceans, and land surface, and use </w:t>
      </w:r>
      <w:r>
        <w:t xml:space="preserve">of </w:t>
      </w:r>
      <w:r w:rsidRPr="006229F5">
        <w:t xml:space="preserve">such information for climate change modelling, and continued observations of the change in the ozone layer and its effects on the environment and human health. </w:t>
      </w:r>
    </w:p>
    <w:p w:rsidR="00397D26" w:rsidRPr="006229F5" w:rsidRDefault="00397D26" w:rsidP="00397D26">
      <w:r w:rsidRPr="006229F5">
        <w:t>Land cover and land cover change assessment and its dynamics are recognized as essential requirements for sustainable management of natural resources, environmental protection, food security, climate change and humanitarian programmes. The strengths of remote sensing when applied to these assessments of land cover and land cover change stem from its ability to provide spatially explicit information and repeated coverage, including the possibility of covering large and/or remote areas that are difficult to access otherwise. Archives of remote sensing data span several decades and can therefore be used to reconstruct past time-series of land cover and land use.</w:t>
      </w:r>
    </w:p>
    <w:p w:rsidR="00397D26" w:rsidRDefault="00397D26" w:rsidP="00397D26">
      <w:r w:rsidRPr="006229F5">
        <w:t xml:space="preserve">Satellites, as part of the global array of networks of </w:t>
      </w:r>
      <w:r>
        <w:t>radio</w:t>
      </w:r>
      <w:r w:rsidRPr="006229F5">
        <w:t xml:space="preserve"> systems to monitor climate change, now provide a vital and important means of gathering observations of the climate system from a global perspective. Satellites contribute to the monitoring of carbon emissions, the changing of ice in polar caps and glaciers, and temperature changes. </w:t>
      </w:r>
      <w:r>
        <w:t xml:space="preserve"> </w:t>
      </w:r>
    </w:p>
    <w:p w:rsidR="00397D26" w:rsidRDefault="00397D26" w:rsidP="00397D26">
      <w:pPr>
        <w:pStyle w:val="Heading1"/>
      </w:pPr>
      <w:r>
        <w:t>2</w:t>
      </w:r>
      <w:r>
        <w:tab/>
      </w:r>
      <w:r w:rsidRPr="00C748F4">
        <w:t xml:space="preserve">ITU-R mandate </w:t>
      </w:r>
    </w:p>
    <w:p w:rsidR="00397D26" w:rsidRDefault="00397D26" w:rsidP="00397D26">
      <w:r>
        <w:t xml:space="preserve">The </w:t>
      </w:r>
      <w:r w:rsidRPr="008231B8">
        <w:t xml:space="preserve">ITU membership </w:t>
      </w:r>
      <w:r>
        <w:t>recognizes the</w:t>
      </w:r>
      <w:r w:rsidRPr="008231B8">
        <w:t xml:space="preserve"> importance of </w:t>
      </w:r>
      <w:r>
        <w:t xml:space="preserve">the </w:t>
      </w:r>
      <w:r w:rsidRPr="008231B8">
        <w:t xml:space="preserve">Radiocommunication Sector (ITU-R) activity in the field of climate change. In particular, the </w:t>
      </w:r>
      <w:r>
        <w:t xml:space="preserve">value and urgency </w:t>
      </w:r>
      <w:r w:rsidRPr="008231B8">
        <w:t xml:space="preserve">of appropriate studies </w:t>
      </w:r>
      <w:r>
        <w:t>are</w:t>
      </w:r>
      <w:r w:rsidRPr="008231B8">
        <w:t xml:space="preserve"> recalled by: </w:t>
      </w:r>
    </w:p>
    <w:p w:rsidR="00397D26" w:rsidRDefault="00397D26" w:rsidP="00397D26">
      <w:pPr>
        <w:pStyle w:val="enumlev1"/>
      </w:pPr>
      <w:r>
        <w:t>–</w:t>
      </w:r>
      <w:r>
        <w:tab/>
      </w:r>
      <w:r w:rsidRPr="008231B8">
        <w:t>Resolution 673 (WRC-07) “</w:t>
      </w:r>
      <w:proofErr w:type="spellStart"/>
      <w:r w:rsidRPr="008231B8">
        <w:t>Radiocommunications</w:t>
      </w:r>
      <w:proofErr w:type="spellEnd"/>
      <w:r w:rsidRPr="008231B8">
        <w:t xml:space="preserve"> use for Earth observation applications” considered that “Earth observation data are also essential for monitoring and predicting climate changes, ... for increasing the understanding, modelling and verification of all aspects of climate change, and for related policy-making, and further noted that more than 90% of natural disasters are climate- or weather-related; ... that, although meteorological and Earth observation satellites are currently only operated by a limited number of countries, the data and/or related analyses resulting from their </w:t>
      </w:r>
      <w:r w:rsidRPr="008231B8">
        <w:lastRenderedPageBreak/>
        <w:t>operation are distributed and used globally ... by climate-change-related organizations”</w:t>
      </w:r>
      <w:r>
        <w:t xml:space="preserve"> and</w:t>
      </w:r>
      <w:r w:rsidRPr="008231B8">
        <w:t>;</w:t>
      </w:r>
    </w:p>
    <w:p w:rsidR="00397D26" w:rsidRPr="008231B8" w:rsidRDefault="00397D26" w:rsidP="00397D26">
      <w:pPr>
        <w:pStyle w:val="enumlev1"/>
      </w:pPr>
      <w:r>
        <w:t>–</w:t>
      </w:r>
      <w:r>
        <w:tab/>
      </w:r>
      <w:r w:rsidRPr="008231B8">
        <w:t xml:space="preserve">Resolution 672 (WRC-07) </w:t>
      </w:r>
      <w:r>
        <w:t>“</w:t>
      </w:r>
      <w:r w:rsidRPr="008231B8">
        <w:t>Extension of the allocation to the meteorological-satellite service in the band 7 750-7 850 MHz</w:t>
      </w:r>
      <w:r>
        <w:t>”</w:t>
      </w:r>
      <w:r w:rsidRPr="008231B8">
        <w:t>, recognized that the data obtained by these meteorological satellites are essential for global weather forecast, climate</w:t>
      </w:r>
      <w:r>
        <w:t xml:space="preserve"> changes and hazard predictions.</w:t>
      </w:r>
    </w:p>
    <w:p w:rsidR="00397D26" w:rsidRPr="006229F5" w:rsidRDefault="00397D26" w:rsidP="00F805FD">
      <w:r>
        <w:t>T</w:t>
      </w:r>
      <w:r w:rsidRPr="00C748F4">
        <w:t>he work of the Radiocommunication Sector (ITU-R)</w:t>
      </w:r>
      <w:r w:rsidRPr="006229F5">
        <w:t xml:space="preserve"> creates regulatory and technical bases for the development and effective operation of satellite climate monitoring and data dissemination systems by allocating the necessary radio-frequency spectrum/satellite orbit resources; analysing compatibility between new and existing satellite systems; carrying out studies and developing treaty-status (Radio Regulations) and voluntary (ITU Recommendations) international standards for space-based and other telecommunication systems/networks; providing guidance and support on the use of satellite systems for environment monitoring, prediction and mitigation of the negative effects of disasters caused by climate change such as: </w:t>
      </w:r>
    </w:p>
    <w:p w:rsidR="00397D26" w:rsidRPr="002F7BB1" w:rsidRDefault="00F805FD" w:rsidP="00F805FD">
      <w:pPr>
        <w:pStyle w:val="enumlev1"/>
        <w:rPr>
          <w:w w:val="103"/>
        </w:rPr>
      </w:pPr>
      <w:r>
        <w:rPr>
          <w:w w:val="103"/>
        </w:rPr>
        <w:t>–</w:t>
      </w:r>
      <w:r>
        <w:rPr>
          <w:w w:val="103"/>
        </w:rPr>
        <w:tab/>
      </w:r>
      <w:r w:rsidR="00397D26" w:rsidRPr="002F7BB1">
        <w:rPr>
          <w:w w:val="103"/>
        </w:rPr>
        <w:t xml:space="preserve">Earth observation satellites that track the progress of hurricanes and typhoons and weather radars for tracking tornadoes, thunderstorms, and the effluent from volcanoes and major forest fires; </w:t>
      </w:r>
    </w:p>
    <w:p w:rsidR="00397D26" w:rsidRDefault="00F805FD" w:rsidP="00F805FD">
      <w:pPr>
        <w:pStyle w:val="enumlev1"/>
        <w:rPr>
          <w:w w:val="103"/>
        </w:rPr>
      </w:pPr>
      <w:r>
        <w:t>–</w:t>
      </w:r>
      <w:r>
        <w:tab/>
      </w:r>
      <w:proofErr w:type="gramStart"/>
      <w:r w:rsidR="00397D26" w:rsidRPr="008231B8">
        <w:rPr>
          <w:w w:val="103"/>
        </w:rPr>
        <w:t>radio-based</w:t>
      </w:r>
      <w:proofErr w:type="gramEnd"/>
      <w:r w:rsidR="00397D26" w:rsidRPr="008231B8">
        <w:rPr>
          <w:w w:val="103"/>
        </w:rPr>
        <w:t xml:space="preserve"> meteorological aid systems that collect and process weather data; </w:t>
      </w:r>
    </w:p>
    <w:p w:rsidR="00397D26" w:rsidRPr="008231B8" w:rsidRDefault="00F805FD" w:rsidP="00F805FD">
      <w:pPr>
        <w:pStyle w:val="enumlev1"/>
        <w:rPr>
          <w:w w:val="103"/>
        </w:rPr>
      </w:pPr>
      <w:r>
        <w:t>–</w:t>
      </w:r>
      <w:r>
        <w:tab/>
      </w:r>
      <w:proofErr w:type="gramStart"/>
      <w:r w:rsidR="00397D26" w:rsidRPr="006229F5">
        <w:rPr>
          <w:w w:val="103"/>
        </w:rPr>
        <w:t>different</w:t>
      </w:r>
      <w:proofErr w:type="gramEnd"/>
      <w:r w:rsidR="00397D26" w:rsidRPr="006229F5">
        <w:rPr>
          <w:w w:val="103"/>
        </w:rPr>
        <w:t xml:space="preserve"> radiocommunication systems (satellite and terrestrial) used for dissemination of information concerning different natural and man-made disasters</w:t>
      </w:r>
      <w:r w:rsidR="00397D26" w:rsidRPr="008231B8">
        <w:rPr>
          <w:w w:val="103"/>
        </w:rPr>
        <w:t>.</w:t>
      </w:r>
    </w:p>
    <w:p w:rsidR="00397D26" w:rsidRPr="006229F5" w:rsidRDefault="00397D26" w:rsidP="001F7C6A">
      <w:pPr>
        <w:rPr>
          <w:w w:val="103"/>
        </w:rPr>
      </w:pPr>
      <w:r w:rsidRPr="006229F5">
        <w:rPr>
          <w:color w:val="0066FF"/>
          <w:w w:val="103"/>
          <w:u w:val="single"/>
        </w:rPr>
        <w:t>ITU-R Recommendations, Reports and Handbooks</w:t>
      </w:r>
      <w:r w:rsidRPr="006229F5">
        <w:rPr>
          <w:w w:val="103"/>
        </w:rPr>
        <w:t xml:space="preserve"> on radiocommunication systems and radio-based applications operating in </w:t>
      </w:r>
      <w:r>
        <w:rPr>
          <w:w w:val="103"/>
        </w:rPr>
        <w:t xml:space="preserve">the </w:t>
      </w:r>
      <w:r w:rsidRPr="006229F5">
        <w:rPr>
          <w:w w:val="103"/>
        </w:rPr>
        <w:t xml:space="preserve">Earth-exploration satellite, meteorological-aids and meteorological satellite services, today provide most of data to assist administration in spectrum planning, engineering and deployment of satellite and terrestrial </w:t>
      </w:r>
      <w:r>
        <w:rPr>
          <w:w w:val="103"/>
        </w:rPr>
        <w:t>r</w:t>
      </w:r>
      <w:r w:rsidRPr="006229F5">
        <w:rPr>
          <w:w w:val="103"/>
        </w:rPr>
        <w:t>adiocommunication technologies for environment observation, climate control, weather forecasting and natural and man-made disaster prediction, detection and mitigation. (</w:t>
      </w:r>
      <w:hyperlink r:id="rId9" w:history="1">
        <w:r w:rsidRPr="006229F5">
          <w:rPr>
            <w:color w:val="0000FF"/>
            <w:w w:val="103"/>
            <w:u w:val="single"/>
          </w:rPr>
          <w:t>http://w</w:t>
        </w:r>
        <w:r w:rsidRPr="006229F5">
          <w:rPr>
            <w:color w:val="0000FF"/>
            <w:w w:val="103"/>
            <w:u w:val="single"/>
          </w:rPr>
          <w:t>w</w:t>
        </w:r>
        <w:r w:rsidRPr="006229F5">
          <w:rPr>
            <w:color w:val="0000FF"/>
            <w:w w:val="103"/>
            <w:u w:val="single"/>
          </w:rPr>
          <w:t>w.itu.int/ITU-R/index.asp?category=study-groups&amp;rlink=rsg7&amp;lang=en</w:t>
        </w:r>
      </w:hyperlink>
      <w:r w:rsidRPr="006229F5">
        <w:rPr>
          <w:w w:val="103"/>
        </w:rPr>
        <w:t xml:space="preserve">) </w:t>
      </w:r>
    </w:p>
    <w:p w:rsidR="00397D26" w:rsidRDefault="00F805FD" w:rsidP="00F805FD">
      <w:pPr>
        <w:pStyle w:val="Heading1"/>
        <w:rPr>
          <w:lang w:val="en-US"/>
        </w:rPr>
      </w:pPr>
      <w:r>
        <w:rPr>
          <w:lang w:val="en-US"/>
        </w:rPr>
        <w:t>3</w:t>
      </w:r>
      <w:r>
        <w:rPr>
          <w:lang w:val="en-US"/>
        </w:rPr>
        <w:tab/>
      </w:r>
      <w:r w:rsidR="00397D26" w:rsidRPr="00C748F4">
        <w:rPr>
          <w:lang w:val="en-US"/>
        </w:rPr>
        <w:t>Latest results of BR</w:t>
      </w:r>
      <w:r w:rsidR="00397D26">
        <w:rPr>
          <w:lang w:val="en-US"/>
        </w:rPr>
        <w:t xml:space="preserve"> activities</w:t>
      </w:r>
    </w:p>
    <w:p w:rsidR="00397D26" w:rsidRPr="00F805FD" w:rsidRDefault="00F805FD" w:rsidP="00F805FD">
      <w:pPr>
        <w:pStyle w:val="Headingb"/>
      </w:pPr>
      <w:r>
        <w:t>WRC-12 preparation</w:t>
      </w:r>
    </w:p>
    <w:p w:rsidR="00397D26" w:rsidRDefault="00397D26" w:rsidP="00F805FD">
      <w:pPr>
        <w:rPr>
          <w:b/>
          <w:i/>
          <w:iCs/>
          <w:lang w:val="en-US"/>
        </w:rPr>
      </w:pPr>
      <w:r>
        <w:rPr>
          <w:lang w:val="en-US"/>
        </w:rPr>
        <w:t>The 2</w:t>
      </w:r>
      <w:r>
        <w:rPr>
          <w:vertAlign w:val="superscript"/>
          <w:lang w:val="en-US"/>
        </w:rPr>
        <w:t>nd</w:t>
      </w:r>
      <w:r>
        <w:rPr>
          <w:lang w:val="en-US"/>
        </w:rPr>
        <w:t xml:space="preserve"> Session of the Conference Preparatory Meeting (CPM11-2) to WRC-12 considered some topics concerning climate change issues:</w:t>
      </w:r>
    </w:p>
    <w:p w:rsidR="00397D26" w:rsidRDefault="00F805FD" w:rsidP="00F805FD">
      <w:pPr>
        <w:pStyle w:val="enumlev1"/>
        <w:rPr>
          <w:b/>
          <w:lang w:val="en-US"/>
        </w:rPr>
      </w:pPr>
      <w:r>
        <w:rPr>
          <w:lang w:val="en-US"/>
        </w:rPr>
        <w:sym w:font="Symbol" w:char="F0B7"/>
      </w:r>
      <w:r>
        <w:rPr>
          <w:lang w:val="en-US"/>
        </w:rPr>
        <w:tab/>
      </w:r>
      <w:r w:rsidR="00397D26">
        <w:rPr>
          <w:lang w:val="en-US"/>
        </w:rPr>
        <w:t>It is proposed to change the RR in order to protect operation and development of long-range lightning detection systems in frequencies below 20 kHz;</w:t>
      </w:r>
    </w:p>
    <w:p w:rsidR="00397D26" w:rsidRDefault="00F805FD" w:rsidP="00F805FD">
      <w:pPr>
        <w:pStyle w:val="enumlev1"/>
        <w:rPr>
          <w:b/>
          <w:lang w:val="en-US"/>
        </w:rPr>
      </w:pPr>
      <w:r>
        <w:rPr>
          <w:lang w:val="en-US"/>
        </w:rPr>
        <w:sym w:font="Symbol" w:char="F0B7"/>
      </w:r>
      <w:r>
        <w:rPr>
          <w:lang w:val="en-US"/>
        </w:rPr>
        <w:tab/>
      </w:r>
      <w:r w:rsidR="00397D26">
        <w:rPr>
          <w:lang w:val="en-US"/>
        </w:rPr>
        <w:t>WRC-12 will consider making a new allocation of the band 7750-7850 MHz for meteorological satellite systems to improve operational meteorology, in particular with respect to Numerical Weather Prediction;</w:t>
      </w:r>
    </w:p>
    <w:p w:rsidR="00397D26" w:rsidRDefault="00F805FD" w:rsidP="00F805FD">
      <w:pPr>
        <w:pStyle w:val="enumlev1"/>
        <w:rPr>
          <w:b/>
          <w:lang w:val="en-US"/>
        </w:rPr>
      </w:pPr>
      <w:r>
        <w:rPr>
          <w:lang w:val="en-US"/>
        </w:rPr>
        <w:sym w:font="Symbol" w:char="F0B7"/>
      </w:r>
      <w:r>
        <w:rPr>
          <w:lang w:val="en-US"/>
        </w:rPr>
        <w:tab/>
      </w:r>
      <w:r w:rsidR="00397D26">
        <w:rPr>
          <w:lang w:val="en-US"/>
        </w:rPr>
        <w:t>WRC-12 will consider additional spectrum between 275 GHz and 3000 GHz for use by the Earth exploration satellite service to improve measurement of hydrological cycle components;</w:t>
      </w:r>
    </w:p>
    <w:p w:rsidR="00397D26" w:rsidRDefault="00F805FD" w:rsidP="00F805FD">
      <w:pPr>
        <w:pStyle w:val="enumlev1"/>
        <w:rPr>
          <w:b/>
          <w:lang w:val="en-US"/>
        </w:rPr>
      </w:pPr>
      <w:r>
        <w:rPr>
          <w:lang w:val="en-US"/>
        </w:rPr>
        <w:sym w:font="Symbol" w:char="F0B7"/>
      </w:r>
      <w:r>
        <w:rPr>
          <w:lang w:val="en-US"/>
        </w:rPr>
        <w:tab/>
      </w:r>
      <w:r w:rsidR="00397D26">
        <w:rPr>
          <w:lang w:val="en-US"/>
        </w:rPr>
        <w:t>WRC-12 should consider modif</w:t>
      </w:r>
      <w:r w:rsidR="001F7C6A">
        <w:rPr>
          <w:lang w:val="en-US"/>
        </w:rPr>
        <w:t>i</w:t>
      </w:r>
      <w:r w:rsidR="00397D26">
        <w:rPr>
          <w:lang w:val="en-US"/>
        </w:rPr>
        <w:t>cation Resolution 673 (WRC-07), which called for studies by ITU-R “</w:t>
      </w:r>
      <w:r w:rsidR="00397D26">
        <w:rPr>
          <w:i/>
          <w:iCs/>
          <w:lang w:val="en-US"/>
        </w:rPr>
        <w:t xml:space="preserve">on possible means to improve the recognition of the essential role and global importance of Earth observation </w:t>
      </w:r>
      <w:proofErr w:type="spellStart"/>
      <w:r w:rsidR="00397D26">
        <w:rPr>
          <w:i/>
          <w:iCs/>
          <w:lang w:val="en-US"/>
        </w:rPr>
        <w:t>radiocommunications</w:t>
      </w:r>
      <w:proofErr w:type="spellEnd"/>
      <w:r w:rsidR="00397D26">
        <w:rPr>
          <w:i/>
          <w:iCs/>
          <w:lang w:val="en-US"/>
        </w:rPr>
        <w:t xml:space="preserve"> applications</w:t>
      </w:r>
      <w:r w:rsidR="00397D26">
        <w:rPr>
          <w:lang w:val="en-US"/>
        </w:rPr>
        <w:t>”, together with the inclusion of a new provision in the RR urging administrations to recognize the importance of Earth observation;</w:t>
      </w:r>
    </w:p>
    <w:p w:rsidR="00F805FD" w:rsidRDefault="00F805FD">
      <w:pPr>
        <w:tabs>
          <w:tab w:val="clear" w:pos="1134"/>
          <w:tab w:val="clear" w:pos="1871"/>
          <w:tab w:val="clear" w:pos="2268"/>
        </w:tabs>
        <w:overflowPunct/>
        <w:autoSpaceDE/>
        <w:autoSpaceDN/>
        <w:adjustRightInd/>
        <w:spacing w:before="0"/>
        <w:textAlignment w:val="auto"/>
        <w:rPr>
          <w:lang w:val="en-US"/>
        </w:rPr>
      </w:pPr>
      <w:r>
        <w:rPr>
          <w:lang w:val="en-US"/>
        </w:rPr>
        <w:br w:type="page"/>
      </w:r>
    </w:p>
    <w:p w:rsidR="00397D26" w:rsidRDefault="00F805FD" w:rsidP="00F805FD">
      <w:pPr>
        <w:pStyle w:val="enumlev1"/>
        <w:rPr>
          <w:b/>
          <w:lang w:val="en-US"/>
        </w:rPr>
      </w:pPr>
      <w:r>
        <w:rPr>
          <w:lang w:val="en-US"/>
        </w:rPr>
        <w:sym w:font="Symbol" w:char="F0B7"/>
      </w:r>
      <w:r>
        <w:rPr>
          <w:lang w:val="en-US"/>
        </w:rPr>
        <w:tab/>
      </w:r>
      <w:r w:rsidR="00397D26">
        <w:rPr>
          <w:lang w:val="en-US"/>
        </w:rPr>
        <w:t>WRC-12 will consider radiolocation allocations in the range 3-50 MHz that could be used for the operation of oceanographic radars that monitor the sea surface for wave heights, currents and tracking of large objects. Increased reliance on the data from these systems</w:t>
      </w:r>
      <w:r w:rsidR="00397D26">
        <w:rPr>
          <w:rStyle w:val="FootnoteReference"/>
          <w:lang w:val="en-US"/>
        </w:rPr>
        <w:footnoteReference w:id="1"/>
      </w:r>
      <w:r w:rsidR="00397D26">
        <w:rPr>
          <w:lang w:val="en-US"/>
        </w:rPr>
        <w:t xml:space="preserve"> has driven the need to improve the regulatory status of the spectrum used by oceanographic radars.</w:t>
      </w:r>
    </w:p>
    <w:p w:rsidR="00397D26" w:rsidRPr="00F805FD" w:rsidRDefault="00F805FD" w:rsidP="00F805FD">
      <w:pPr>
        <w:pStyle w:val="Headingb"/>
      </w:pPr>
      <w:r>
        <w:t xml:space="preserve">ITU-R </w:t>
      </w:r>
      <w:proofErr w:type="spellStart"/>
      <w:r>
        <w:t>SGs</w:t>
      </w:r>
      <w:proofErr w:type="spellEnd"/>
      <w:r>
        <w:t xml:space="preserve"> activity</w:t>
      </w:r>
    </w:p>
    <w:p w:rsidR="00397D26" w:rsidRPr="002F7BB1" w:rsidRDefault="00F805FD" w:rsidP="00F805FD">
      <w:pPr>
        <w:pStyle w:val="enumlev1"/>
        <w:rPr>
          <w:b/>
          <w:i/>
          <w:iCs/>
          <w:lang w:val="en-US"/>
        </w:rPr>
      </w:pPr>
      <w:r>
        <w:rPr>
          <w:lang w:val="en-US"/>
        </w:rPr>
        <w:sym w:font="Symbol" w:char="F0B7"/>
      </w:r>
      <w:r>
        <w:rPr>
          <w:lang w:val="en-US"/>
        </w:rPr>
        <w:tab/>
      </w:r>
      <w:r w:rsidR="00397D26">
        <w:rPr>
          <w:lang w:val="en-US"/>
        </w:rPr>
        <w:t xml:space="preserve">New Recommendation </w:t>
      </w:r>
      <w:hyperlink r:id="rId10" w:history="1">
        <w:r w:rsidR="00397D26" w:rsidRPr="00081CE1">
          <w:rPr>
            <w:rStyle w:val="Hyperlink"/>
            <w:i/>
            <w:iCs/>
            <w:lang w:val="en-US"/>
          </w:rPr>
          <w:t>ITU-R</w:t>
        </w:r>
        <w:r w:rsidR="00397D26" w:rsidRPr="00081CE1">
          <w:rPr>
            <w:rStyle w:val="Hyperlink"/>
            <w:i/>
            <w:iCs/>
            <w:lang w:val="en-US"/>
          </w:rPr>
          <w:t xml:space="preserve"> </w:t>
        </w:r>
        <w:r w:rsidR="00397D26" w:rsidRPr="00081CE1">
          <w:rPr>
            <w:rStyle w:val="Hyperlink"/>
            <w:i/>
            <w:iCs/>
            <w:lang w:val="en-US"/>
          </w:rPr>
          <w:t>RS.1883</w:t>
        </w:r>
      </w:hyperlink>
      <w:r w:rsidR="00397D26" w:rsidRPr="00081CE1">
        <w:rPr>
          <w:color w:val="0066FF"/>
          <w:lang w:val="en-US"/>
        </w:rPr>
        <w:t xml:space="preserve"> </w:t>
      </w:r>
      <w:r w:rsidR="00397D26">
        <w:rPr>
          <w:lang w:val="en-US"/>
        </w:rPr>
        <w:t>“</w:t>
      </w:r>
      <w:r w:rsidR="00397D26">
        <w:rPr>
          <w:i/>
          <w:iCs/>
          <w:lang w:val="en-US"/>
        </w:rPr>
        <w:t>Use of remote sensing systems in the study of climate change and the effects thereof</w:t>
      </w:r>
      <w:r w:rsidR="00397D26">
        <w:rPr>
          <w:lang w:val="en-US"/>
        </w:rPr>
        <w:t>” was approved. This Recommendation encompasses guidelines on the provision of satellite-provided remote sensing data for studying climate change;</w:t>
      </w:r>
    </w:p>
    <w:p w:rsidR="00397D26" w:rsidRPr="002F7BB1" w:rsidRDefault="00F805FD" w:rsidP="00F805FD">
      <w:pPr>
        <w:pStyle w:val="enumlev1"/>
        <w:rPr>
          <w:b/>
          <w:i/>
          <w:iCs/>
          <w:lang w:val="en-US"/>
        </w:rPr>
      </w:pPr>
      <w:r>
        <w:rPr>
          <w:lang w:val="en-US"/>
        </w:rPr>
        <w:sym w:font="Symbol" w:char="F0B7"/>
      </w:r>
      <w:r>
        <w:rPr>
          <w:lang w:val="en-US"/>
        </w:rPr>
        <w:tab/>
      </w:r>
      <w:r w:rsidR="00397D26">
        <w:rPr>
          <w:lang w:val="en-US"/>
        </w:rPr>
        <w:t xml:space="preserve">ITU-R SG7 also published the new Report </w:t>
      </w:r>
      <w:hyperlink r:id="rId11" w:history="1">
        <w:r w:rsidR="00397D26" w:rsidRPr="00081CE1">
          <w:rPr>
            <w:rStyle w:val="Hyperlink"/>
            <w:i/>
            <w:iCs/>
            <w:lang w:val="en-US"/>
          </w:rPr>
          <w:t xml:space="preserve">ITU-R </w:t>
        </w:r>
        <w:r w:rsidR="00397D26" w:rsidRPr="00081CE1">
          <w:rPr>
            <w:rStyle w:val="Hyperlink"/>
            <w:i/>
            <w:iCs/>
            <w:lang w:val="en-US"/>
          </w:rPr>
          <w:t>R</w:t>
        </w:r>
        <w:r w:rsidR="00397D26" w:rsidRPr="00081CE1">
          <w:rPr>
            <w:rStyle w:val="Hyperlink"/>
            <w:i/>
            <w:iCs/>
            <w:lang w:val="en-US"/>
          </w:rPr>
          <w:t>S.2178</w:t>
        </w:r>
      </w:hyperlink>
      <w:r w:rsidR="00397D26" w:rsidRPr="00081CE1">
        <w:rPr>
          <w:color w:val="0066FF"/>
          <w:lang w:val="en-US"/>
        </w:rPr>
        <w:t xml:space="preserve"> </w:t>
      </w:r>
      <w:r w:rsidR="00397D26">
        <w:rPr>
          <w:lang w:val="en-US"/>
        </w:rPr>
        <w:t>“</w:t>
      </w:r>
      <w:r w:rsidR="00397D26">
        <w:rPr>
          <w:i/>
          <w:iCs/>
          <w:lang w:val="en-US"/>
        </w:rPr>
        <w:t>The essential role and global importance of radio spectrum use for Earth observations and for related applications</w:t>
      </w:r>
      <w:r w:rsidR="00397D26">
        <w:rPr>
          <w:lang w:val="en-US"/>
        </w:rPr>
        <w:t>”.</w:t>
      </w:r>
    </w:p>
    <w:p w:rsidR="00397D26" w:rsidRPr="00975AF9" w:rsidRDefault="00F805FD" w:rsidP="00F805FD">
      <w:pPr>
        <w:pStyle w:val="enumlev1"/>
        <w:rPr>
          <w:rFonts w:asciiTheme="majorBidi" w:hAnsiTheme="majorBidi" w:cstheme="majorBidi"/>
          <w:b/>
          <w:bCs/>
        </w:rPr>
      </w:pPr>
      <w:r>
        <w:rPr>
          <w:lang w:val="en-US"/>
        </w:rPr>
        <w:sym w:font="Symbol" w:char="F0B7"/>
      </w:r>
      <w:r>
        <w:rPr>
          <w:lang w:val="en-US"/>
        </w:rPr>
        <w:tab/>
      </w:r>
      <w:r w:rsidR="00397D26">
        <w:rPr>
          <w:lang w:val="en-US"/>
        </w:rPr>
        <w:t xml:space="preserve">ITU-R SG7 </w:t>
      </w:r>
      <w:r w:rsidR="00397D26" w:rsidRPr="00975AF9">
        <w:rPr>
          <w:rFonts w:asciiTheme="majorBidi" w:hAnsiTheme="majorBidi" w:cstheme="majorBidi"/>
          <w:bCs/>
          <w:lang w:val="en-US"/>
        </w:rPr>
        <w:t>delivered in June 2011 the new ITU-R Handbook “</w:t>
      </w:r>
      <w:hyperlink r:id="rId12" w:history="1">
        <w:r w:rsidR="00397D26" w:rsidRPr="00975AF9">
          <w:rPr>
            <w:rStyle w:val="Hyperlink"/>
            <w:rFonts w:asciiTheme="majorBidi" w:hAnsiTheme="majorBidi" w:cstheme="majorBidi"/>
            <w:bCs/>
            <w:i/>
            <w:iCs/>
            <w:lang w:val="en-US"/>
          </w:rPr>
          <w:t>Eart</w:t>
        </w:r>
        <w:r w:rsidR="00397D26" w:rsidRPr="00975AF9">
          <w:rPr>
            <w:rStyle w:val="Hyperlink"/>
            <w:rFonts w:asciiTheme="majorBidi" w:hAnsiTheme="majorBidi" w:cstheme="majorBidi"/>
            <w:bCs/>
            <w:i/>
            <w:iCs/>
            <w:lang w:val="en-US"/>
          </w:rPr>
          <w:t>h</w:t>
        </w:r>
        <w:r w:rsidR="00397D26" w:rsidRPr="00975AF9">
          <w:rPr>
            <w:rStyle w:val="Hyperlink"/>
            <w:rFonts w:asciiTheme="majorBidi" w:hAnsiTheme="majorBidi" w:cstheme="majorBidi"/>
            <w:bCs/>
            <w:i/>
            <w:iCs/>
            <w:lang w:val="en-US"/>
          </w:rPr>
          <w:t>-ex</w:t>
        </w:r>
        <w:r w:rsidR="00397D26" w:rsidRPr="00975AF9">
          <w:rPr>
            <w:rStyle w:val="Hyperlink"/>
            <w:rFonts w:asciiTheme="majorBidi" w:hAnsiTheme="majorBidi" w:cstheme="majorBidi"/>
            <w:bCs/>
            <w:i/>
            <w:iCs/>
            <w:lang w:val="en-US"/>
          </w:rPr>
          <w:t>p</w:t>
        </w:r>
        <w:r w:rsidR="00397D26" w:rsidRPr="00975AF9">
          <w:rPr>
            <w:rStyle w:val="Hyperlink"/>
            <w:rFonts w:asciiTheme="majorBidi" w:hAnsiTheme="majorBidi" w:cstheme="majorBidi"/>
            <w:bCs/>
            <w:i/>
            <w:iCs/>
            <w:lang w:val="en-US"/>
          </w:rPr>
          <w:t>loration satellite system</w:t>
        </w:r>
      </w:hyperlink>
      <w:r w:rsidR="00397D26" w:rsidRPr="00975AF9">
        <w:rPr>
          <w:rFonts w:asciiTheme="majorBidi" w:hAnsiTheme="majorBidi" w:cstheme="majorBidi"/>
          <w:bCs/>
          <w:lang w:val="en-US"/>
        </w:rPr>
        <w:t>”, which describes the Earth exploration-satellite service, its technical characteristics, its applications, its spectrum requirements, as well as its benefits;</w:t>
      </w:r>
    </w:p>
    <w:p w:rsidR="00397D26" w:rsidRPr="00975AF9" w:rsidRDefault="00F805FD" w:rsidP="00F805FD">
      <w:pPr>
        <w:pStyle w:val="enumlev1"/>
        <w:rPr>
          <w:rFonts w:asciiTheme="majorBidi" w:hAnsiTheme="majorBidi" w:cstheme="majorBidi"/>
          <w:b/>
          <w:bCs/>
        </w:rPr>
      </w:pPr>
      <w:r>
        <w:rPr>
          <w:lang w:val="en-US"/>
        </w:rPr>
        <w:sym w:font="Symbol" w:char="F0B7"/>
      </w:r>
      <w:r>
        <w:rPr>
          <w:lang w:val="en-US"/>
        </w:rPr>
        <w:tab/>
      </w:r>
      <w:hyperlink r:id="rId13" w:history="1">
        <w:r w:rsidR="00397D26" w:rsidRPr="00975AF9">
          <w:rPr>
            <w:rFonts w:asciiTheme="majorBidi" w:hAnsiTheme="majorBidi" w:cstheme="majorBidi"/>
            <w:bCs/>
            <w:color w:val="000066"/>
          </w:rPr>
          <w:t>ITU-R SG7</w:t>
        </w:r>
      </w:hyperlink>
      <w:r w:rsidR="00397D26" w:rsidRPr="00975AF9">
        <w:rPr>
          <w:rFonts w:asciiTheme="majorBidi" w:hAnsiTheme="majorBidi" w:cstheme="majorBidi"/>
          <w:bCs/>
        </w:rPr>
        <w:t xml:space="preserve"> (Science services) in cooperation with the World Meteorological Organization produced </w:t>
      </w:r>
      <w:r w:rsidR="00397D26">
        <w:rPr>
          <w:rFonts w:asciiTheme="majorBidi" w:hAnsiTheme="majorBidi" w:cstheme="majorBidi"/>
          <w:bCs/>
        </w:rPr>
        <w:t xml:space="preserve">the </w:t>
      </w:r>
      <w:proofErr w:type="spellStart"/>
      <w:r w:rsidR="00397D26" w:rsidRPr="00975AF9">
        <w:rPr>
          <w:rFonts w:asciiTheme="majorBidi" w:hAnsiTheme="majorBidi" w:cstheme="majorBidi"/>
          <w:bCs/>
        </w:rPr>
        <w:t>WMO</w:t>
      </w:r>
      <w:proofErr w:type="spellEnd"/>
      <w:r w:rsidR="00397D26" w:rsidRPr="00975AF9">
        <w:rPr>
          <w:rFonts w:asciiTheme="majorBidi" w:hAnsiTheme="majorBidi" w:cstheme="majorBidi"/>
          <w:bCs/>
        </w:rPr>
        <w:t xml:space="preserve"> and </w:t>
      </w:r>
      <w:hyperlink r:id="rId14" w:history="1">
        <w:r w:rsidR="00397D26" w:rsidRPr="007E0B6B">
          <w:rPr>
            <w:rFonts w:asciiTheme="majorBidi" w:hAnsiTheme="majorBidi" w:cstheme="majorBidi"/>
            <w:bCs/>
          </w:rPr>
          <w:t>ITU</w:t>
        </w:r>
        <w:r w:rsidR="00397D26" w:rsidRPr="007E0B6B">
          <w:rPr>
            <w:rFonts w:asciiTheme="majorBidi" w:hAnsiTheme="majorBidi" w:cstheme="majorBidi"/>
            <w:bCs/>
            <w:color w:val="0066FF"/>
          </w:rPr>
          <w:t xml:space="preserve"> </w:t>
        </w:r>
        <w:r w:rsidR="00397D26" w:rsidRPr="00975AF9">
          <w:rPr>
            <w:rFonts w:asciiTheme="majorBidi" w:hAnsiTheme="majorBidi" w:cstheme="majorBidi"/>
            <w:bCs/>
            <w:i/>
            <w:iCs/>
            <w:color w:val="0066FF"/>
            <w:u w:val="single"/>
          </w:rPr>
          <w:t>Handboo</w:t>
        </w:r>
        <w:r w:rsidR="00397D26" w:rsidRPr="00975AF9">
          <w:rPr>
            <w:rFonts w:asciiTheme="majorBidi" w:hAnsiTheme="majorBidi" w:cstheme="majorBidi"/>
            <w:bCs/>
            <w:i/>
            <w:iCs/>
            <w:color w:val="0066FF"/>
            <w:u w:val="single"/>
          </w:rPr>
          <w:t>k</w:t>
        </w:r>
        <w:r w:rsidR="00397D26" w:rsidRPr="00975AF9">
          <w:rPr>
            <w:rFonts w:asciiTheme="majorBidi" w:hAnsiTheme="majorBidi" w:cstheme="majorBidi"/>
            <w:bCs/>
            <w:i/>
            <w:iCs/>
            <w:color w:val="0066FF"/>
            <w:u w:val="single"/>
          </w:rPr>
          <w:t xml:space="preserve"> "Use of Radio Spectrum for Meteorology"</w:t>
        </w:r>
      </w:hyperlink>
      <w:r w:rsidR="00397D26" w:rsidRPr="00975AF9">
        <w:rPr>
          <w:rFonts w:asciiTheme="majorBidi" w:hAnsiTheme="majorBidi" w:cstheme="majorBidi"/>
          <w:bCs/>
        </w:rPr>
        <w:t xml:space="preserve"> providing information on development and a proper use radiocommunication systems and radio-based technologies for environment observation, climate control, weather forecasting and natural and man-made disaster prediction, detection and mitigation</w:t>
      </w:r>
      <w:r w:rsidR="00397D26">
        <w:rPr>
          <w:rFonts w:asciiTheme="majorBidi" w:hAnsiTheme="majorBidi" w:cstheme="majorBidi"/>
          <w:bCs/>
        </w:rPr>
        <w:t>;</w:t>
      </w:r>
    </w:p>
    <w:p w:rsidR="00397D26" w:rsidRDefault="00F805FD" w:rsidP="00F805FD">
      <w:pPr>
        <w:pStyle w:val="enumlev1"/>
        <w:rPr>
          <w:b/>
          <w:lang w:val="en-US"/>
        </w:rPr>
      </w:pPr>
      <w:r>
        <w:rPr>
          <w:lang w:val="en-US"/>
        </w:rPr>
        <w:sym w:font="Symbol" w:char="F0B7"/>
      </w:r>
      <w:r>
        <w:rPr>
          <w:lang w:val="en-US"/>
        </w:rPr>
        <w:tab/>
      </w:r>
      <w:r w:rsidR="00397D26">
        <w:rPr>
          <w:lang w:val="en-US"/>
        </w:rPr>
        <w:t xml:space="preserve">ITU-R SG5 developed the new Recommendation </w:t>
      </w:r>
      <w:hyperlink r:id="rId15" w:history="1">
        <w:r w:rsidR="00397D26" w:rsidRPr="00C96339">
          <w:rPr>
            <w:rStyle w:val="Hyperlink"/>
            <w:i/>
            <w:iCs/>
            <w:lang w:val="en-US"/>
          </w:rPr>
          <w:t>ITU-R</w:t>
        </w:r>
        <w:r w:rsidR="00397D26" w:rsidRPr="00C96339">
          <w:rPr>
            <w:rStyle w:val="Hyperlink"/>
            <w:i/>
            <w:iCs/>
            <w:lang w:val="en-US"/>
          </w:rPr>
          <w:t xml:space="preserve"> </w:t>
        </w:r>
        <w:r w:rsidR="00397D26" w:rsidRPr="00C96339">
          <w:rPr>
            <w:rStyle w:val="Hyperlink"/>
            <w:i/>
            <w:iCs/>
            <w:lang w:val="en-US"/>
          </w:rPr>
          <w:t>M.1874</w:t>
        </w:r>
        <w:r w:rsidR="00397D26" w:rsidRPr="00C96339">
          <w:rPr>
            <w:rStyle w:val="Hyperlink"/>
            <w:lang w:val="en-US"/>
          </w:rPr>
          <w:t> </w:t>
        </w:r>
      </w:hyperlink>
      <w:r w:rsidR="00397D26">
        <w:rPr>
          <w:lang w:val="en-US"/>
        </w:rPr>
        <w:t>“</w:t>
      </w:r>
      <w:r w:rsidR="00397D26">
        <w:rPr>
          <w:i/>
          <w:iCs/>
          <w:lang w:val="en-US"/>
        </w:rPr>
        <w:t>Technical and operational characteristics of oceanographic radars operating in sub-bands within the frequency range 3-50 MHz</w:t>
      </w:r>
      <w:r w:rsidR="00397D26">
        <w:rPr>
          <w:lang w:val="en-US"/>
        </w:rPr>
        <w:t>”;</w:t>
      </w:r>
    </w:p>
    <w:p w:rsidR="00397D26" w:rsidRDefault="00F805FD" w:rsidP="00F805FD">
      <w:pPr>
        <w:pStyle w:val="enumlev1"/>
        <w:rPr>
          <w:rFonts w:asciiTheme="majorBidi" w:hAnsiTheme="majorBidi" w:cstheme="majorBidi"/>
          <w:b/>
          <w:bCs/>
        </w:rPr>
      </w:pPr>
      <w:r>
        <w:rPr>
          <w:lang w:val="en-US"/>
        </w:rPr>
        <w:sym w:font="Symbol" w:char="F0B7"/>
      </w:r>
      <w:r>
        <w:rPr>
          <w:lang w:val="en-US"/>
        </w:rPr>
        <w:tab/>
      </w:r>
      <w:r w:rsidR="00397D26" w:rsidRPr="002F7BB1">
        <w:rPr>
          <w:rFonts w:asciiTheme="majorBidi" w:hAnsiTheme="majorBidi" w:cstheme="majorBidi"/>
          <w:bCs/>
          <w:color w:val="000066"/>
        </w:rPr>
        <w:t>ITU-R SG5</w:t>
      </w:r>
      <w:r w:rsidR="00397D26" w:rsidRPr="002F7BB1">
        <w:rPr>
          <w:rFonts w:asciiTheme="majorBidi" w:hAnsiTheme="majorBidi" w:cstheme="majorBidi"/>
          <w:bCs/>
        </w:rPr>
        <w:t xml:space="preserve"> has developed the </w:t>
      </w:r>
      <w:hyperlink r:id="rId16" w:history="1">
        <w:r w:rsidR="00397D26" w:rsidRPr="008231B8">
          <w:rPr>
            <w:rFonts w:asciiTheme="majorBidi" w:hAnsiTheme="majorBidi" w:cstheme="majorBidi"/>
            <w:bCs/>
            <w:i/>
            <w:iCs/>
            <w:color w:val="0066FF"/>
            <w:u w:val="single"/>
          </w:rPr>
          <w:t xml:space="preserve">ITU-R </w:t>
        </w:r>
        <w:r w:rsidR="00397D26" w:rsidRPr="008231B8">
          <w:rPr>
            <w:rFonts w:asciiTheme="majorBidi" w:hAnsiTheme="majorBidi" w:cstheme="majorBidi"/>
            <w:bCs/>
            <w:i/>
            <w:iCs/>
            <w:color w:val="0066FF"/>
            <w:u w:val="single"/>
          </w:rPr>
          <w:t>"</w:t>
        </w:r>
        <w:r w:rsidR="00397D26" w:rsidRPr="008231B8">
          <w:rPr>
            <w:rFonts w:asciiTheme="majorBidi" w:hAnsiTheme="majorBidi" w:cstheme="majorBidi"/>
            <w:bCs/>
            <w:i/>
            <w:iCs/>
            <w:color w:val="0066FF"/>
            <w:u w:val="single"/>
          </w:rPr>
          <w:t>Intelligent Transport System" - Handbook on Land Mobile (including wireless), Volume 4</w:t>
        </w:r>
      </w:hyperlink>
      <w:r w:rsidR="00397D26" w:rsidRPr="008231B8">
        <w:rPr>
          <w:rFonts w:asciiTheme="majorBidi" w:hAnsiTheme="majorBidi" w:cstheme="majorBidi"/>
          <w:bCs/>
          <w:i/>
          <w:iCs/>
          <w:color w:val="0066FF"/>
        </w:rPr>
        <w:t>,</w:t>
      </w:r>
      <w:r w:rsidR="00397D26" w:rsidRPr="002F7BB1">
        <w:rPr>
          <w:rFonts w:asciiTheme="majorBidi" w:hAnsiTheme="majorBidi" w:cstheme="majorBidi"/>
          <w:bCs/>
        </w:rPr>
        <w:t xml:space="preserve"> which describes the use of radio technologies for minimizing transportation distances and cost with </w:t>
      </w:r>
      <w:r w:rsidR="00397D26">
        <w:rPr>
          <w:rFonts w:asciiTheme="majorBidi" w:hAnsiTheme="majorBidi" w:cstheme="majorBidi"/>
          <w:bCs/>
        </w:rPr>
        <w:t>a resulting</w:t>
      </w:r>
      <w:r w:rsidR="00397D26" w:rsidRPr="002F7BB1">
        <w:rPr>
          <w:rFonts w:asciiTheme="majorBidi" w:hAnsiTheme="majorBidi" w:cstheme="majorBidi"/>
          <w:bCs/>
        </w:rPr>
        <w:t xml:space="preserve"> positive effect on </w:t>
      </w:r>
      <w:r w:rsidR="00397D26">
        <w:rPr>
          <w:rFonts w:asciiTheme="majorBidi" w:hAnsiTheme="majorBidi" w:cstheme="majorBidi"/>
          <w:bCs/>
        </w:rPr>
        <w:t xml:space="preserve">the </w:t>
      </w:r>
      <w:r w:rsidR="00397D26" w:rsidRPr="002F7BB1">
        <w:rPr>
          <w:rFonts w:asciiTheme="majorBidi" w:hAnsiTheme="majorBidi" w:cstheme="majorBidi"/>
          <w:bCs/>
        </w:rPr>
        <w:t>environment and on the use of cars as an environment monitoring tool to measure air temperature, humidity, precipitation, with data sent through wireless links for weather forecasting and climate control.</w:t>
      </w:r>
    </w:p>
    <w:p w:rsidR="00397D26" w:rsidRDefault="00F805FD" w:rsidP="00F805FD">
      <w:pPr>
        <w:pStyle w:val="Heading1"/>
      </w:pPr>
      <w:r>
        <w:t>4</w:t>
      </w:r>
      <w:r>
        <w:tab/>
      </w:r>
      <w:r w:rsidR="00397D26" w:rsidRPr="00975AF9">
        <w:t>Future action</w:t>
      </w:r>
      <w:r w:rsidR="00397D26">
        <w:t>s</w:t>
      </w:r>
    </w:p>
    <w:p w:rsidR="00F805FD" w:rsidRDefault="00F805FD" w:rsidP="00F805FD">
      <w:pPr>
        <w:cnfStyle w:val="101000000000" w:firstRow="1" w:lastRow="0" w:firstColumn="1" w:lastColumn="0" w:oddVBand="0" w:evenVBand="0" w:oddHBand="0" w:evenHBand="0" w:firstRowFirstColumn="0" w:firstRowLastColumn="0" w:lastRowFirstColumn="0" w:lastRowLastColumn="0"/>
      </w:pPr>
      <w:r>
        <w:t>It was proposed</w:t>
      </w:r>
      <w:r w:rsidRPr="00A43300">
        <w:t xml:space="preserve"> during </w:t>
      </w:r>
      <w:r>
        <w:t xml:space="preserve">the </w:t>
      </w:r>
      <w:r w:rsidRPr="00A43300">
        <w:t xml:space="preserve">last ITU </w:t>
      </w:r>
      <w:proofErr w:type="spellStart"/>
      <w:r w:rsidRPr="00A43300">
        <w:t>SG</w:t>
      </w:r>
      <w:proofErr w:type="spellEnd"/>
      <w:r>
        <w:t xml:space="preserve"> and RAG</w:t>
      </w:r>
      <w:r w:rsidRPr="00A43300">
        <w:t xml:space="preserve"> meetings proposed that ITU-R Study Groups should identify energy-saving measures that could be built into those devices without prejudice to their quality of service, and foster increased and generalized recourse to those measures, as appropriate, in all radiocommunication applications when such recourse is likely to result in non</w:t>
      </w:r>
      <w:r w:rsidRPr="00A43300">
        <w:noBreakHyphen/>
        <w:t xml:space="preserve">negligible reductions of </w:t>
      </w:r>
      <w:proofErr w:type="spellStart"/>
      <w:r w:rsidRPr="00A43300">
        <w:t>GHG</w:t>
      </w:r>
      <w:proofErr w:type="spellEnd"/>
      <w:r w:rsidRPr="00A43300">
        <w:t xml:space="preserve"> emissions. </w:t>
      </w:r>
      <w:r>
        <w:t>A d</w:t>
      </w:r>
      <w:r w:rsidRPr="00A43300">
        <w:t xml:space="preserve">raft new ITU-R Resolution will </w:t>
      </w:r>
      <w:r>
        <w:t xml:space="preserve">be </w:t>
      </w:r>
      <w:r w:rsidRPr="00A43300">
        <w:t xml:space="preserve">presented </w:t>
      </w:r>
      <w:r>
        <w:t>for consideration at</w:t>
      </w:r>
      <w:r w:rsidRPr="00A43300">
        <w:t xml:space="preserve"> the next the RA-12 (</w:t>
      </w:r>
      <w:r w:rsidRPr="00A43300">
        <w:rPr>
          <w:rStyle w:val="Strong"/>
          <w:rFonts w:asciiTheme="majorBidi" w:hAnsiTheme="majorBidi" w:cstheme="majorBidi"/>
          <w:szCs w:val="24"/>
        </w:rPr>
        <w:t>16 January-20 January 2012)</w:t>
      </w:r>
      <w:r>
        <w:rPr>
          <w:rStyle w:val="Strong"/>
          <w:rFonts w:asciiTheme="majorBidi" w:hAnsiTheme="majorBidi" w:cstheme="majorBidi"/>
          <w:szCs w:val="24"/>
        </w:rPr>
        <w:t>.</w:t>
      </w:r>
      <w:r>
        <w:t xml:space="preserve"> </w:t>
      </w:r>
    </w:p>
    <w:p w:rsidR="00F805FD" w:rsidRDefault="00F805FD" w:rsidP="001F7C6A">
      <w:pPr>
        <w:spacing w:before="80"/>
        <w:cnfStyle w:val="101000000000" w:firstRow="1" w:lastRow="0" w:firstColumn="1" w:lastColumn="0" w:oddVBand="0" w:evenVBand="0" w:oddHBand="0" w:evenHBand="0" w:firstRowFirstColumn="0" w:firstRowLastColumn="0" w:lastRowFirstColumn="0" w:lastRowLastColumn="0"/>
      </w:pPr>
    </w:p>
    <w:tbl>
      <w:tblPr>
        <w:tblStyle w:val="MediumList1-Accent3"/>
        <w:tblW w:w="10031" w:type="dxa"/>
        <w:tblLook w:val="04A0" w:firstRow="1" w:lastRow="0" w:firstColumn="1" w:lastColumn="0" w:noHBand="0" w:noVBand="1"/>
      </w:tblPr>
      <w:tblGrid>
        <w:gridCol w:w="4644"/>
        <w:gridCol w:w="5387"/>
      </w:tblGrid>
      <w:tr w:rsidR="00397D26" w:rsidTr="00F80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397D26" w:rsidRPr="00A43300" w:rsidRDefault="00397D26" w:rsidP="00F805FD">
            <w:pPr>
              <w:rPr>
                <w:rFonts w:asciiTheme="majorBidi" w:hAnsiTheme="majorBidi"/>
                <w:b w:val="0"/>
                <w:bCs w:val="0"/>
                <w:szCs w:val="24"/>
              </w:rPr>
            </w:pPr>
            <w:r w:rsidRPr="00A43300">
              <w:rPr>
                <w:rFonts w:asciiTheme="majorBidi" w:hAnsiTheme="majorBidi"/>
                <w:b w:val="0"/>
                <w:bCs w:val="0"/>
                <w:szCs w:val="24"/>
              </w:rPr>
              <w:t xml:space="preserve">BR Contact point on </w:t>
            </w:r>
            <w:proofErr w:type="spellStart"/>
            <w:r>
              <w:rPr>
                <w:rFonts w:asciiTheme="majorBidi" w:hAnsiTheme="majorBidi"/>
                <w:b w:val="0"/>
                <w:bCs w:val="0"/>
                <w:szCs w:val="24"/>
              </w:rPr>
              <w:t>ICT</w:t>
            </w:r>
            <w:proofErr w:type="spellEnd"/>
            <w:r>
              <w:rPr>
                <w:rFonts w:asciiTheme="majorBidi" w:hAnsiTheme="majorBidi"/>
                <w:b w:val="0"/>
                <w:bCs w:val="0"/>
                <w:szCs w:val="24"/>
              </w:rPr>
              <w:t xml:space="preserve"> and </w:t>
            </w:r>
            <w:r w:rsidRPr="00A43300">
              <w:rPr>
                <w:rFonts w:asciiTheme="majorBidi" w:hAnsiTheme="majorBidi"/>
                <w:b w:val="0"/>
                <w:bCs w:val="0"/>
                <w:szCs w:val="24"/>
              </w:rPr>
              <w:t>Climate change</w:t>
            </w:r>
          </w:p>
        </w:tc>
        <w:tc>
          <w:tcPr>
            <w:tcW w:w="5387" w:type="dxa"/>
          </w:tcPr>
          <w:p w:rsidR="00397D26" w:rsidRPr="00A43300" w:rsidRDefault="00397D26" w:rsidP="00F805FD">
            <w:pPr>
              <w:cnfStyle w:val="100000000000" w:firstRow="1" w:lastRow="0" w:firstColumn="0" w:lastColumn="0" w:oddVBand="0" w:evenVBand="0" w:oddHBand="0" w:evenHBand="0" w:firstRowFirstColumn="0" w:firstRowLastColumn="0" w:lastRowFirstColumn="0" w:lastRowLastColumn="0"/>
              <w:rPr>
                <w:rFonts w:asciiTheme="majorBidi" w:hAnsiTheme="majorBidi"/>
                <w:szCs w:val="24"/>
              </w:rPr>
            </w:pPr>
            <w:r w:rsidRPr="00A43300">
              <w:rPr>
                <w:rFonts w:asciiTheme="majorBidi" w:hAnsiTheme="majorBidi"/>
                <w:szCs w:val="24"/>
              </w:rPr>
              <w:t xml:space="preserve">ITU-R </w:t>
            </w:r>
            <w:proofErr w:type="spellStart"/>
            <w:r w:rsidRPr="00A43300">
              <w:rPr>
                <w:rFonts w:asciiTheme="majorBidi" w:hAnsiTheme="majorBidi"/>
                <w:szCs w:val="24"/>
              </w:rPr>
              <w:t>SG</w:t>
            </w:r>
            <w:proofErr w:type="spellEnd"/>
            <w:r w:rsidRPr="00A43300">
              <w:rPr>
                <w:rFonts w:asciiTheme="majorBidi" w:hAnsiTheme="majorBidi"/>
                <w:szCs w:val="24"/>
              </w:rPr>
              <w:t xml:space="preserve"> 6 Rapporteur on </w:t>
            </w:r>
            <w:proofErr w:type="spellStart"/>
            <w:r w:rsidRPr="00A43300">
              <w:rPr>
                <w:rFonts w:asciiTheme="majorBidi" w:hAnsiTheme="majorBidi"/>
                <w:szCs w:val="24"/>
              </w:rPr>
              <w:t>ICT</w:t>
            </w:r>
            <w:proofErr w:type="spellEnd"/>
            <w:r w:rsidRPr="00A43300">
              <w:rPr>
                <w:rFonts w:asciiTheme="majorBidi" w:hAnsiTheme="majorBidi"/>
                <w:szCs w:val="24"/>
              </w:rPr>
              <w:t xml:space="preserve"> and Climate changes</w:t>
            </w:r>
          </w:p>
        </w:tc>
      </w:tr>
      <w:tr w:rsidR="00397D26" w:rsidTr="00F805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F805FD" w:rsidRPr="00A43300" w:rsidRDefault="00397D26" w:rsidP="001F7C6A">
            <w:pPr>
              <w:spacing w:before="80"/>
              <w:rPr>
                <w:rFonts w:asciiTheme="majorBidi" w:hAnsiTheme="majorBidi" w:cstheme="majorBidi"/>
                <w:b w:val="0"/>
                <w:bCs w:val="0"/>
                <w:szCs w:val="24"/>
              </w:rPr>
            </w:pPr>
            <w:proofErr w:type="spellStart"/>
            <w:r w:rsidRPr="00A43300">
              <w:rPr>
                <w:rFonts w:asciiTheme="majorBidi" w:hAnsiTheme="majorBidi" w:cstheme="majorBidi"/>
                <w:b w:val="0"/>
                <w:bCs w:val="0"/>
                <w:szCs w:val="24"/>
              </w:rPr>
              <w:t>Mr.</w:t>
            </w:r>
            <w:proofErr w:type="spellEnd"/>
            <w:r w:rsidRPr="00A43300">
              <w:rPr>
                <w:rFonts w:asciiTheme="majorBidi" w:hAnsiTheme="majorBidi" w:cstheme="majorBidi"/>
                <w:b w:val="0"/>
                <w:bCs w:val="0"/>
                <w:szCs w:val="24"/>
              </w:rPr>
              <w:t xml:space="preserve"> Vadim Nozdrin, </w:t>
            </w:r>
            <w:hyperlink r:id="rId17" w:history="1">
              <w:r w:rsidR="00F805FD" w:rsidRPr="00F805FD">
                <w:rPr>
                  <w:rStyle w:val="Hyperlink"/>
                  <w:rFonts w:asciiTheme="majorBidi" w:hAnsiTheme="majorBidi" w:cstheme="majorBidi"/>
                  <w:b w:val="0"/>
                  <w:bCs w:val="0"/>
                  <w:szCs w:val="24"/>
                </w:rPr>
                <w:t>vadim.nozdrin@itu.int</w:t>
              </w:r>
            </w:hyperlink>
          </w:p>
        </w:tc>
        <w:tc>
          <w:tcPr>
            <w:tcW w:w="5387" w:type="dxa"/>
          </w:tcPr>
          <w:p w:rsidR="00F805FD" w:rsidRPr="00A43300" w:rsidRDefault="00397D26" w:rsidP="001F7C6A">
            <w:pPr>
              <w:spacing w:before="8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Cs w:val="24"/>
              </w:rPr>
            </w:pPr>
            <w:proofErr w:type="spellStart"/>
            <w:r>
              <w:rPr>
                <w:rFonts w:asciiTheme="majorBidi" w:hAnsiTheme="majorBidi" w:cstheme="majorBidi"/>
                <w:szCs w:val="24"/>
              </w:rPr>
              <w:t>Mr.</w:t>
            </w:r>
            <w:proofErr w:type="spellEnd"/>
            <w:r>
              <w:rPr>
                <w:rFonts w:asciiTheme="majorBidi" w:hAnsiTheme="majorBidi" w:cstheme="majorBidi"/>
                <w:szCs w:val="24"/>
              </w:rPr>
              <w:t xml:space="preserve"> David Wood (</w:t>
            </w:r>
            <w:proofErr w:type="spellStart"/>
            <w:r>
              <w:rPr>
                <w:rFonts w:asciiTheme="majorBidi" w:hAnsiTheme="majorBidi" w:cstheme="majorBidi"/>
                <w:szCs w:val="24"/>
              </w:rPr>
              <w:t>EBU</w:t>
            </w:r>
            <w:proofErr w:type="spellEnd"/>
            <w:r>
              <w:rPr>
                <w:rFonts w:asciiTheme="majorBidi" w:hAnsiTheme="majorBidi" w:cstheme="majorBidi"/>
                <w:szCs w:val="24"/>
              </w:rPr>
              <w:t xml:space="preserve">), </w:t>
            </w:r>
            <w:hyperlink r:id="rId18" w:history="1">
              <w:r w:rsidR="00F805FD" w:rsidRPr="008B270A">
                <w:rPr>
                  <w:rStyle w:val="Hyperlink"/>
                  <w:rFonts w:asciiTheme="majorBidi" w:hAnsiTheme="majorBidi" w:cstheme="majorBidi"/>
                  <w:szCs w:val="24"/>
                </w:rPr>
                <w:t>wood@ebu.ch</w:t>
              </w:r>
            </w:hyperlink>
          </w:p>
        </w:tc>
      </w:tr>
    </w:tbl>
    <w:p w:rsidR="000069D4" w:rsidRPr="00F805FD" w:rsidRDefault="000069D4" w:rsidP="00F805FD">
      <w:pPr>
        <w:rPr>
          <w:sz w:val="4"/>
          <w:szCs w:val="4"/>
          <w:lang w:val="en-US" w:eastAsia="zh-CN"/>
        </w:rPr>
      </w:pPr>
    </w:p>
    <w:sectPr w:rsidR="000069D4" w:rsidRPr="00F805FD" w:rsidSect="001F7C6A">
      <w:headerReference w:type="default" r:id="rId19"/>
      <w:pgSz w:w="11907" w:h="16834"/>
      <w:pgMar w:top="1247" w:right="1134" w:bottom="1247"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D90" w:rsidRDefault="00E76D90">
      <w:r>
        <w:separator/>
      </w:r>
    </w:p>
  </w:endnote>
  <w:endnote w:type="continuationSeparator" w:id="0">
    <w:p w:rsidR="00E76D90" w:rsidRDefault="00E7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D90" w:rsidRDefault="00E76D90">
      <w:r>
        <w:t>____________________</w:t>
      </w:r>
    </w:p>
  </w:footnote>
  <w:footnote w:type="continuationSeparator" w:id="0">
    <w:p w:rsidR="00E76D90" w:rsidRDefault="00E76D90">
      <w:r>
        <w:continuationSeparator/>
      </w:r>
    </w:p>
  </w:footnote>
  <w:footnote w:id="1">
    <w:p w:rsidR="00E76D90" w:rsidRPr="00F805FD" w:rsidRDefault="00E76D90" w:rsidP="00F805FD">
      <w:pPr>
        <w:pStyle w:val="FootnoteText"/>
        <w:tabs>
          <w:tab w:val="clear" w:pos="255"/>
          <w:tab w:val="left" w:pos="0"/>
          <w:tab w:val="left" w:pos="284"/>
        </w:tabs>
        <w:spacing w:before="60" w:after="60"/>
        <w:rPr>
          <w:szCs w:val="24"/>
        </w:rPr>
      </w:pPr>
      <w:r w:rsidRPr="00F805FD">
        <w:rPr>
          <w:rStyle w:val="FootnoteReference"/>
          <w:sz w:val="24"/>
          <w:szCs w:val="24"/>
          <w:vertAlign w:val="superscript"/>
        </w:rPr>
        <w:footnoteRef/>
      </w:r>
      <w:r>
        <w:rPr>
          <w:szCs w:val="24"/>
        </w:rPr>
        <w:tab/>
      </w:r>
      <w:proofErr w:type="gramStart"/>
      <w:r w:rsidRPr="00F805FD">
        <w:rPr>
          <w:szCs w:val="24"/>
        </w:rPr>
        <w:t>E.g. for disaster response as well as oceanographic, climatological, and meteorological operations.</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D90" w:rsidRDefault="00E76D90"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177A9"/>
    <w:multiLevelType w:val="hybridMultilevel"/>
    <w:tmpl w:val="A6C2D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DB429F"/>
    <w:multiLevelType w:val="hybridMultilevel"/>
    <w:tmpl w:val="89643008"/>
    <w:lvl w:ilvl="0" w:tplc="32AA20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346B73"/>
    <w:multiLevelType w:val="multilevel"/>
    <w:tmpl w:val="F1387B5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37236B8"/>
    <w:multiLevelType w:val="hybridMultilevel"/>
    <w:tmpl w:val="047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D26"/>
    <w:rsid w:val="000069D4"/>
    <w:rsid w:val="000174AD"/>
    <w:rsid w:val="000A7D55"/>
    <w:rsid w:val="000C2E8E"/>
    <w:rsid w:val="000E0E7C"/>
    <w:rsid w:val="000F1B4B"/>
    <w:rsid w:val="0012744F"/>
    <w:rsid w:val="00156F66"/>
    <w:rsid w:val="00182528"/>
    <w:rsid w:val="0018500B"/>
    <w:rsid w:val="00196A19"/>
    <w:rsid w:val="001F7C6A"/>
    <w:rsid w:val="00202DC1"/>
    <w:rsid w:val="002116EE"/>
    <w:rsid w:val="002309D8"/>
    <w:rsid w:val="002A7FE2"/>
    <w:rsid w:val="002E1B4F"/>
    <w:rsid w:val="002F2E67"/>
    <w:rsid w:val="00315546"/>
    <w:rsid w:val="00330567"/>
    <w:rsid w:val="00386A9D"/>
    <w:rsid w:val="00391081"/>
    <w:rsid w:val="00397D26"/>
    <w:rsid w:val="003B2789"/>
    <w:rsid w:val="003C13CE"/>
    <w:rsid w:val="003E2518"/>
    <w:rsid w:val="004B1EF7"/>
    <w:rsid w:val="004B3FAD"/>
    <w:rsid w:val="00501DCA"/>
    <w:rsid w:val="00513A47"/>
    <w:rsid w:val="005408DF"/>
    <w:rsid w:val="00573344"/>
    <w:rsid w:val="00583F9B"/>
    <w:rsid w:val="005E5C10"/>
    <w:rsid w:val="005F2C78"/>
    <w:rsid w:val="006144E4"/>
    <w:rsid w:val="00650299"/>
    <w:rsid w:val="00655FC5"/>
    <w:rsid w:val="00822581"/>
    <w:rsid w:val="008309DD"/>
    <w:rsid w:val="0083227A"/>
    <w:rsid w:val="00866900"/>
    <w:rsid w:val="00881BA1"/>
    <w:rsid w:val="008C26B8"/>
    <w:rsid w:val="00982084"/>
    <w:rsid w:val="00995963"/>
    <w:rsid w:val="009B61EB"/>
    <w:rsid w:val="009C2064"/>
    <w:rsid w:val="009D1697"/>
    <w:rsid w:val="00A014F8"/>
    <w:rsid w:val="00A5173C"/>
    <w:rsid w:val="00A61AEF"/>
    <w:rsid w:val="00AF173A"/>
    <w:rsid w:val="00B066A4"/>
    <w:rsid w:val="00B07A13"/>
    <w:rsid w:val="00B4279B"/>
    <w:rsid w:val="00B45FC9"/>
    <w:rsid w:val="00BC7CCF"/>
    <w:rsid w:val="00BE470B"/>
    <w:rsid w:val="00C57A91"/>
    <w:rsid w:val="00CC01C2"/>
    <w:rsid w:val="00CF21F2"/>
    <w:rsid w:val="00D02712"/>
    <w:rsid w:val="00D214D0"/>
    <w:rsid w:val="00D6546B"/>
    <w:rsid w:val="00DD4BED"/>
    <w:rsid w:val="00DE39F0"/>
    <w:rsid w:val="00DF0AF3"/>
    <w:rsid w:val="00E27D7E"/>
    <w:rsid w:val="00E42E13"/>
    <w:rsid w:val="00E6257C"/>
    <w:rsid w:val="00E63C59"/>
    <w:rsid w:val="00E76D90"/>
    <w:rsid w:val="00F77A74"/>
    <w:rsid w:val="00F805FD"/>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SingleTxt">
    <w:name w:val="__Single Txt"/>
    <w:basedOn w:val="Normal"/>
    <w:link w:val="SingleTxtChar"/>
    <w:rsid w:val="00397D26"/>
    <w:pPr>
      <w:tabs>
        <w:tab w:val="clear" w:pos="1134"/>
        <w:tab w:val="clear" w:pos="1871"/>
        <w:tab w:val="clear" w:pos="2268"/>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exact"/>
      <w:ind w:left="1267" w:right="1267"/>
      <w:jc w:val="both"/>
      <w:textAlignment w:val="auto"/>
    </w:pPr>
    <w:rPr>
      <w:spacing w:val="4"/>
      <w:w w:val="103"/>
      <w:kern w:val="14"/>
      <w:sz w:val="20"/>
    </w:rPr>
  </w:style>
  <w:style w:type="character" w:customStyle="1" w:styleId="SingleTxtChar">
    <w:name w:val="__Single Txt Char"/>
    <w:link w:val="SingleTxt"/>
    <w:rsid w:val="00397D26"/>
    <w:rPr>
      <w:rFonts w:ascii="Times New Roman" w:hAnsi="Times New Roman"/>
      <w:spacing w:val="4"/>
      <w:w w:val="103"/>
      <w:kern w:val="14"/>
      <w:lang w:val="en-GB" w:eastAsia="en-US"/>
    </w:rPr>
  </w:style>
  <w:style w:type="paragraph" w:styleId="ListParagraph">
    <w:name w:val="List Paragraph"/>
    <w:basedOn w:val="Normal"/>
    <w:uiPriority w:val="34"/>
    <w:qFormat/>
    <w:rsid w:val="00397D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 w:val="22"/>
      <w:szCs w:val="22"/>
      <w:lang w:val="en-US" w:eastAsia="zh-CN"/>
    </w:rPr>
  </w:style>
  <w:style w:type="character" w:styleId="Hyperlink">
    <w:name w:val="Hyperlink"/>
    <w:basedOn w:val="DefaultParagraphFont"/>
    <w:uiPriority w:val="99"/>
    <w:unhideWhenUsed/>
    <w:rsid w:val="00397D26"/>
    <w:rPr>
      <w:color w:val="0000FF"/>
      <w:u w:val="single"/>
    </w:rPr>
  </w:style>
  <w:style w:type="character" w:customStyle="1" w:styleId="FootnoteTextChar">
    <w:name w:val="Footnote Text Char"/>
    <w:basedOn w:val="DefaultParagraphFont"/>
    <w:link w:val="FootnoteText"/>
    <w:uiPriority w:val="99"/>
    <w:rsid w:val="00397D26"/>
    <w:rPr>
      <w:rFonts w:ascii="Times New Roman" w:hAnsi="Times New Roman"/>
      <w:sz w:val="24"/>
      <w:lang w:val="en-GB" w:eastAsia="en-US"/>
    </w:rPr>
  </w:style>
  <w:style w:type="character" w:styleId="Strong">
    <w:name w:val="Strong"/>
    <w:basedOn w:val="DefaultParagraphFont"/>
    <w:uiPriority w:val="22"/>
    <w:qFormat/>
    <w:rsid w:val="00397D26"/>
    <w:rPr>
      <w:b/>
      <w:bCs/>
    </w:rPr>
  </w:style>
  <w:style w:type="table" w:styleId="MediumList1-Accent3">
    <w:name w:val="Medium List 1 Accent 3"/>
    <w:basedOn w:val="TableNormal"/>
    <w:uiPriority w:val="65"/>
    <w:rsid w:val="00397D26"/>
    <w:rPr>
      <w:rFonts w:asciiTheme="minorHAnsi" w:eastAsiaTheme="minorEastAsia" w:hAnsiTheme="minorHAnsi" w:cstheme="minorBidi"/>
      <w:color w:val="000000" w:themeColor="text1"/>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character" w:styleId="FollowedHyperlink">
    <w:name w:val="FollowedHyperlink"/>
    <w:basedOn w:val="DefaultParagraphFont"/>
    <w:rsid w:val="001F7C6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SingleTxt">
    <w:name w:val="__Single Txt"/>
    <w:basedOn w:val="Normal"/>
    <w:link w:val="SingleTxtChar"/>
    <w:rsid w:val="00397D26"/>
    <w:pPr>
      <w:tabs>
        <w:tab w:val="clear" w:pos="1134"/>
        <w:tab w:val="clear" w:pos="1871"/>
        <w:tab w:val="clear" w:pos="2268"/>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exact"/>
      <w:ind w:left="1267" w:right="1267"/>
      <w:jc w:val="both"/>
      <w:textAlignment w:val="auto"/>
    </w:pPr>
    <w:rPr>
      <w:spacing w:val="4"/>
      <w:w w:val="103"/>
      <w:kern w:val="14"/>
      <w:sz w:val="20"/>
    </w:rPr>
  </w:style>
  <w:style w:type="character" w:customStyle="1" w:styleId="SingleTxtChar">
    <w:name w:val="__Single Txt Char"/>
    <w:link w:val="SingleTxt"/>
    <w:rsid w:val="00397D26"/>
    <w:rPr>
      <w:rFonts w:ascii="Times New Roman" w:hAnsi="Times New Roman"/>
      <w:spacing w:val="4"/>
      <w:w w:val="103"/>
      <w:kern w:val="14"/>
      <w:lang w:val="en-GB" w:eastAsia="en-US"/>
    </w:rPr>
  </w:style>
  <w:style w:type="paragraph" w:styleId="ListParagraph">
    <w:name w:val="List Paragraph"/>
    <w:basedOn w:val="Normal"/>
    <w:uiPriority w:val="34"/>
    <w:qFormat/>
    <w:rsid w:val="00397D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 w:val="22"/>
      <w:szCs w:val="22"/>
      <w:lang w:val="en-US" w:eastAsia="zh-CN"/>
    </w:rPr>
  </w:style>
  <w:style w:type="character" w:styleId="Hyperlink">
    <w:name w:val="Hyperlink"/>
    <w:basedOn w:val="DefaultParagraphFont"/>
    <w:uiPriority w:val="99"/>
    <w:unhideWhenUsed/>
    <w:rsid w:val="00397D26"/>
    <w:rPr>
      <w:color w:val="0000FF"/>
      <w:u w:val="single"/>
    </w:rPr>
  </w:style>
  <w:style w:type="character" w:customStyle="1" w:styleId="FootnoteTextChar">
    <w:name w:val="Footnote Text Char"/>
    <w:basedOn w:val="DefaultParagraphFont"/>
    <w:link w:val="FootnoteText"/>
    <w:uiPriority w:val="99"/>
    <w:rsid w:val="00397D26"/>
    <w:rPr>
      <w:rFonts w:ascii="Times New Roman" w:hAnsi="Times New Roman"/>
      <w:sz w:val="24"/>
      <w:lang w:val="en-GB" w:eastAsia="en-US"/>
    </w:rPr>
  </w:style>
  <w:style w:type="character" w:styleId="Strong">
    <w:name w:val="Strong"/>
    <w:basedOn w:val="DefaultParagraphFont"/>
    <w:uiPriority w:val="22"/>
    <w:qFormat/>
    <w:rsid w:val="00397D26"/>
    <w:rPr>
      <w:b/>
      <w:bCs/>
    </w:rPr>
  </w:style>
  <w:style w:type="table" w:styleId="MediumList1-Accent3">
    <w:name w:val="Medium List 1 Accent 3"/>
    <w:basedOn w:val="TableNormal"/>
    <w:uiPriority w:val="65"/>
    <w:rsid w:val="00397D26"/>
    <w:rPr>
      <w:rFonts w:asciiTheme="minorHAnsi" w:eastAsiaTheme="minorEastAsia" w:hAnsiTheme="minorHAnsi" w:cstheme="minorBidi"/>
      <w:color w:val="000000" w:themeColor="text1"/>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character" w:styleId="FollowedHyperlink">
    <w:name w:val="FollowedHyperlink"/>
    <w:basedOn w:val="DefaultParagraphFont"/>
    <w:rsid w:val="001F7C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eb/ITU-R/go/rsg7/en" TargetMode="External"/><Relationship Id="rId18" Type="http://schemas.openxmlformats.org/officeDocument/2006/relationships/hyperlink" Target="mailto:wood@ebu.ch"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tu.int/ITU-T/workprog/wp_item.aspx?isn=7515" TargetMode="External"/><Relationship Id="rId17" Type="http://schemas.openxmlformats.org/officeDocument/2006/relationships/hyperlink" Target="mailto:vadim.nozdrin@itu.int" TargetMode="External"/><Relationship Id="rId2" Type="http://schemas.openxmlformats.org/officeDocument/2006/relationships/styles" Target="styles.xml"/><Relationship Id="rId16" Type="http://schemas.openxmlformats.org/officeDocument/2006/relationships/hyperlink" Target="http://web/publ/R-HDB-49/e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eb.itu.int/publ/R-REP-RS.2178/en" TargetMode="External"/><Relationship Id="rId5" Type="http://schemas.openxmlformats.org/officeDocument/2006/relationships/webSettings" Target="webSettings.xml"/><Relationship Id="rId15" Type="http://schemas.openxmlformats.org/officeDocument/2006/relationships/hyperlink" Target="http://web.itu.int/rec/R-REC-M.1874/en" TargetMode="External"/><Relationship Id="rId10" Type="http://schemas.openxmlformats.org/officeDocument/2006/relationships/hyperlink" Target="http://web.itu.int/rec/R-REC-RS.1883/e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u.int/ITU-R/index.asp?category=study-groups&amp;rlink=rsg7&amp;lang=en" TargetMode="External"/><Relationship Id="rId14" Type="http://schemas.openxmlformats.org/officeDocument/2006/relationships/hyperlink" Target="http://web/publ/R-HDB-45/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27</TotalTime>
  <Pages>3</Pages>
  <Words>1200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ITU-R mandate </vt:lpstr>
      <vt:lpstr>3	Latest results of BR activities</vt:lpstr>
      <vt:lpstr>4	Future actions</vt:lpstr>
    </vt:vector>
  </TitlesOfParts>
  <Manager/>
  <Company/>
  <LinksUpToDate>false</LinksUpToDate>
  <CharactersWithSpaces>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mostyn</dc:creator>
  <cp:keywords/>
  <dc:description/>
  <cp:lastModifiedBy>mostyn</cp:lastModifiedBy>
  <cp:revision>4</cp:revision>
  <cp:lastPrinted>2008-02-21T14:04:00Z</cp:lastPrinted>
  <dcterms:created xsi:type="dcterms:W3CDTF">2011-09-12T12:10:00Z</dcterms:created>
  <dcterms:modified xsi:type="dcterms:W3CDTF">2011-09-12T12:39:00Z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